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jc w:val="center"/>
      </w:pPr>
      <w:r>
        <w:rPr>
          <w:rFonts w:ascii="Times New Roman" w:cs="Times New Roman" w:eastAsia="Times New Roman" w:hAnsi="Times New Roman"/>
          <w:b/>
          <w:bCs/>
          <w:sz w:val="24"/>
          <w:szCs w:val="24"/>
        </w:rPr>
        <w:t xml:space="preserve">A LA SECCIÓN CUARTA DE LA SALA DE LO PENAL</w:t>
      </w:r>
    </w:p>
    <w:p>
      <w:pPr>
        <w:spacing w:after="300" w:before="0" w:line="276"/>
        <w:jc w:val="center"/>
      </w:pPr>
      <w:r>
        <w:rPr>
          <w:rFonts w:ascii="Times New Roman" w:cs="Times New Roman" w:eastAsia="Times New Roman" w:hAnsi="Times New Roman"/>
          <w:b/>
          <w:bCs/>
          <w:sz w:val="24"/>
          <w:szCs w:val="24"/>
        </w:rPr>
        <w:t xml:space="preserve">DE LA AUDIENCIA NACIONAL</w:t>
      </w:r>
    </w:p>
    <w:p>
      <w:pPr>
        <w:spacing w:after="200" w:before="0" w:line="276"/>
        <w:ind w:firstLine="720"/>
        <w:jc w:val="both"/>
      </w:pPr>
      <w:r>
        <w:rPr>
          <w:rFonts w:ascii="Times New Roman" w:cs="Times New Roman" w:eastAsia="Times New Roman" w:hAnsi="Times New Roman"/>
          <w:sz w:val="24"/>
          <w:szCs w:val="24"/>
        </w:rPr>
        <w:t xml:space="preserve">DOÑA LAURA MARTÍNEZ SOLER, Procuradora de los Tribunales (colegiada n.º 1.204), en nombre y representación de </w:t>
      </w:r>
      <w:r>
        <w:rPr>
          <w:rFonts w:ascii="Times New Roman" w:cs="Times New Roman" w:eastAsia="Times New Roman" w:hAnsi="Times New Roman"/>
          <w:b/>
          <w:bCs/>
          <w:sz w:val="24"/>
          <w:szCs w:val="24"/>
        </w:rPr>
        <w:t xml:space="preserve">D. CARLOS NAVARRO MENDOZA</w:t>
      </w:r>
      <w:r>
        <w:rPr>
          <w:rFonts w:ascii="Times New Roman" w:cs="Times New Roman" w:eastAsia="Times New Roman" w:hAnsi="Times New Roman"/>
          <w:sz w:val="24"/>
          <w:szCs w:val="24"/>
        </w:rPr>
        <w:t xml:space="preserve">, bajo la dirección letrada de Estrado AI (Letrado director: D. René Dechamps, ICAM n.º 21.297), en el Rollo de Sala PA 15/2025 (origen: JCI n.º 2, DP 45/2022), ante la Sala comparece y, como mejor proceda en Derecho,</w:t>
      </w:r>
    </w:p>
    <w:p>
      <w:pPr>
        <w:spacing w:after="200" w:before="200" w:line="276"/>
        <w:jc w:val="center"/>
      </w:pPr>
      <w:r>
        <w:rPr>
          <w:rFonts w:ascii="Times New Roman" w:cs="Times New Roman" w:eastAsia="Times New Roman" w:hAnsi="Times New Roman"/>
          <w:b/>
          <w:bCs/>
          <w:sz w:val="24"/>
          <w:szCs w:val="24"/>
        </w:rPr>
        <w:t xml:space="preserve">DICE:</w:t>
      </w:r>
    </w:p>
    <w:p>
      <w:pPr>
        <w:spacing w:after="200" w:before="0" w:line="276"/>
        <w:ind w:firstLine="720"/>
        <w:jc w:val="both"/>
      </w:pPr>
      <w:r>
        <w:rPr>
          <w:rFonts w:ascii="Times New Roman" w:cs="Times New Roman" w:eastAsia="Times New Roman" w:hAnsi="Times New Roman"/>
          <w:sz w:val="24"/>
          <w:szCs w:val="24"/>
        </w:rPr>
        <w:t xml:space="preserve">Que, al amparo de los artículos 786.2 y 793.2 de la Ley de Enjuiciamiento Criminal, y de los derechos fundamentales consagrados en los artículos 24.1 y 24.2 de la Constitución, esta defensa plantea las siguientes </w:t>
      </w:r>
      <w:r>
        <w:rPr>
          <w:rFonts w:ascii="Times New Roman" w:cs="Times New Roman" w:eastAsia="Times New Roman" w:hAnsi="Times New Roman"/>
          <w:b/>
          <w:bCs/>
          <w:sz w:val="24"/>
          <w:szCs w:val="24"/>
        </w:rPr>
        <w:t xml:space="preserve">CUESTIONES PREVIAS</w:t>
      </w:r>
      <w:r>
        <w:rPr>
          <w:rFonts w:ascii="Times New Roman" w:cs="Times New Roman" w:eastAsia="Times New Roman" w:hAnsi="Times New Roman"/>
          <w:sz w:val="24"/>
          <w:szCs w:val="24"/>
        </w:rPr>
        <w:t xml:space="preserve"> para su resolución al inicio de las sesiones del juicio oral:</w:t>
      </w:r>
    </w:p>
    <w:p>
      <w:pPr>
        <w:spacing w:after="200" w:before="300" w:line="276"/>
        <w:jc w:val="both"/>
      </w:pPr>
      <w:r>
        <w:rPr>
          <w:rFonts w:ascii="Times New Roman" w:cs="Times New Roman" w:eastAsia="Times New Roman" w:hAnsi="Times New Roman"/>
          <w:b/>
          <w:bCs/>
          <w:sz w:val="24"/>
          <w:szCs w:val="24"/>
        </w:rPr>
        <w:t xml:space="preserve">I. PRESCRIPCIÓN DEL DELITO B): FALSEDAD EN DOCUMENTO MERCANTIL</w:t>
      </w:r>
    </w:p>
    <w:p>
      <w:pPr>
        <w:spacing w:after="200" w:before="0" w:line="276"/>
        <w:ind w:firstLine="720"/>
        <w:jc w:val="both"/>
      </w:pPr>
      <w:r>
        <w:rPr>
          <w:rFonts w:ascii="Times New Roman" w:cs="Times New Roman" w:eastAsia="Times New Roman" w:hAnsi="Times New Roman"/>
          <w:b/>
          <w:bCs/>
          <w:sz w:val="24"/>
          <w:szCs w:val="24"/>
        </w:rPr>
        <w:t xml:space="preserve">Primero. </w:t>
      </w:r>
      <w:r>
        <w:rPr>
          <w:rFonts w:ascii="Times New Roman" w:cs="Times New Roman" w:eastAsia="Times New Roman" w:hAnsi="Times New Roman"/>
          <w:sz w:val="24"/>
          <w:szCs w:val="24"/>
        </w:rPr>
        <w:t xml:space="preserve">El delito de falsedad en documento mercantil del artículo 392 del Código Penal, en relación con el artículo 390.1.2.º del mismo texto legal, tiene asignada una pena de prisión de seis meses a tres años y multa de seis a doce meses. Conforme al artículo 131.1 CP, los delitos con pena máxima de prisión de tres años prescriben a los cinco años.</w:t>
      </w:r>
    </w:p>
    <w:p>
      <w:pPr>
        <w:spacing w:after="200" w:before="0" w:line="276"/>
        <w:ind w:firstLine="720"/>
        <w:jc w:val="both"/>
      </w:pPr>
      <w:r>
        <w:rPr>
          <w:rFonts w:ascii="Times New Roman" w:cs="Times New Roman" w:eastAsia="Times New Roman" w:hAnsi="Times New Roman"/>
          <w:b/>
          <w:bCs/>
          <w:sz w:val="24"/>
          <w:szCs w:val="24"/>
        </w:rPr>
        <w:t xml:space="preserve">Segundo. </w:t>
      </w:r>
      <w:r>
        <w:rPr>
          <w:rFonts w:ascii="Times New Roman" w:cs="Times New Roman" w:eastAsia="Times New Roman" w:hAnsi="Times New Roman"/>
          <w:sz w:val="24"/>
          <w:szCs w:val="24"/>
        </w:rPr>
        <w:t xml:space="preserve">La última factura supuestamente falsificada data del 14 de noviembre de 2021, según consta en el Anexo III del escrito de acusación de la Fiscalía (folio 1.247 de las actuaciones). Las diligencias se incoaron el 15 de marzo de 2022, sin que conste interrupción del plazo prescriptivo con anterioridad a dicha fecha. En consecuencia, han transcurrido más de cinco años desde la comisión del último acto típico sin que se haya producido acto interruptivo suficiente.</w:t>
      </w:r>
    </w:p>
    <w:p>
      <w:pPr>
        <w:spacing w:after="200" w:before="0" w:line="276"/>
        <w:ind w:firstLine="720"/>
        <w:jc w:val="both"/>
      </w:pPr>
      <w:r>
        <w:rPr>
          <w:rFonts w:ascii="Times New Roman" w:cs="Times New Roman" w:eastAsia="Times New Roman" w:hAnsi="Times New Roman"/>
          <w:b/>
          <w:bCs/>
          <w:sz w:val="24"/>
          <w:szCs w:val="24"/>
        </w:rPr>
        <w:t xml:space="preserve">Tercero. </w:t>
      </w:r>
      <w:r>
        <w:rPr>
          <w:rFonts w:ascii="Times New Roman" w:cs="Times New Roman" w:eastAsia="Times New Roman" w:hAnsi="Times New Roman"/>
          <w:sz w:val="24"/>
          <w:szCs w:val="24"/>
        </w:rPr>
        <w:t xml:space="preserve">Esta defensa invoca la doctrina del Tribunal Supremo (STS 467/2018, de 15 de octubre, Ponente: Excmo. Sr. D. Antonio del Moral García), según la cual «la prescripción opera de forma autónoma para cada delito, debiendo computarse individualmente los plazos sin comunicación entre figuras delictivas conexas». En el mismo sentido, STS 213/2020, de 21 de mayo.</w:t>
      </w:r>
    </w:p>
    <w:p>
      <w:pPr>
        <w:spacing w:after="200" w:before="0" w:line="276"/>
        <w:ind w:firstLine="720"/>
        <w:jc w:val="both"/>
      </w:pPr>
      <w:r>
        <w:rPr>
          <w:rFonts w:ascii="Times New Roman" w:cs="Times New Roman" w:eastAsia="Times New Roman" w:hAnsi="Times New Roman"/>
          <w:sz w:val="24"/>
          <w:szCs w:val="24"/>
        </w:rPr>
        <w:t xml:space="preserve">Por todo ello, </w:t>
      </w:r>
      <w:r>
        <w:rPr>
          <w:rFonts w:ascii="Times New Roman" w:cs="Times New Roman" w:eastAsia="Times New Roman" w:hAnsi="Times New Roman"/>
          <w:b/>
          <w:bCs/>
          <w:sz w:val="24"/>
          <w:szCs w:val="24"/>
        </w:rPr>
        <w:t xml:space="preserve">se solicita la declaración de prescripción del delito B) de falsedad en documento mercantil</w:t>
      </w:r>
      <w:r>
        <w:rPr>
          <w:rFonts w:ascii="Times New Roman" w:cs="Times New Roman" w:eastAsia="Times New Roman" w:hAnsi="Times New Roman"/>
          <w:sz w:val="24"/>
          <w:szCs w:val="24"/>
        </w:rPr>
        <w:t xml:space="preserve"> y el sobreseimiento libre respecto del mismo, conforme a los artículos 131.1 y 132 del Código Penal.</w:t>
      </w:r>
    </w:p>
    <w:p>
      <w:pPr>
        <w:spacing w:after="200" w:before="300" w:line="276"/>
        <w:jc w:val="both"/>
      </w:pPr>
      <w:r>
        <w:rPr>
          <w:rFonts w:ascii="Times New Roman" w:cs="Times New Roman" w:eastAsia="Times New Roman" w:hAnsi="Times New Roman"/>
          <w:b/>
          <w:bCs/>
          <w:sz w:val="24"/>
          <w:szCs w:val="24"/>
        </w:rPr>
        <w:t xml:space="preserve">II. VULNERACIÓN DEL PRINCIPIO NE BIS IN IDEM RESPECTO DEL DELITO A)</w:t>
      </w:r>
    </w:p>
    <w:p>
      <w:pPr>
        <w:spacing w:after="200" w:before="0" w:line="276"/>
        <w:ind w:firstLine="720"/>
        <w:jc w:val="both"/>
      </w:pPr>
      <w:r>
        <w:rPr>
          <w:rFonts w:ascii="Times New Roman" w:cs="Times New Roman" w:eastAsia="Times New Roman" w:hAnsi="Times New Roman"/>
          <w:b/>
          <w:bCs/>
          <w:sz w:val="24"/>
          <w:szCs w:val="24"/>
        </w:rPr>
        <w:t xml:space="preserve">Cuarto. </w:t>
      </w:r>
      <w:r>
        <w:rPr>
          <w:rFonts w:ascii="Times New Roman" w:cs="Times New Roman" w:eastAsia="Times New Roman" w:hAnsi="Times New Roman"/>
          <w:sz w:val="24"/>
          <w:szCs w:val="24"/>
        </w:rPr>
        <w:t xml:space="preserve">La Agencia Estatal de Administración Tributaria incoó procedimiento sancionador contra TechVerde Solutions S.L. (expediente sancionador 2023/SA/28079/0412), que concluyó con resolución firme de 18 de julio de 2024 imponiendo sanción de 1.840.000 euros por infracción tributaria muy grave (art. 191.1 LGT), en relación con los mismos ejercicios fiscales 2019–2022 y los mismos hechos que fundamentan la acusación penal por fraude fiscal.</w:t>
      </w:r>
    </w:p>
    <w:p>
      <w:pPr>
        <w:spacing w:after="200" w:before="0" w:line="276"/>
        <w:ind w:firstLine="720"/>
        <w:jc w:val="both"/>
      </w:pPr>
      <w:r>
        <w:rPr>
          <w:rFonts w:ascii="Times New Roman" w:cs="Times New Roman" w:eastAsia="Times New Roman" w:hAnsi="Times New Roman"/>
          <w:b/>
          <w:bCs/>
          <w:sz w:val="24"/>
          <w:szCs w:val="24"/>
        </w:rPr>
        <w:t xml:space="preserve">Quinto. </w:t>
      </w:r>
      <w:r>
        <w:rPr>
          <w:rFonts w:ascii="Times New Roman" w:cs="Times New Roman" w:eastAsia="Times New Roman" w:hAnsi="Times New Roman"/>
          <w:sz w:val="24"/>
          <w:szCs w:val="24"/>
        </w:rPr>
        <w:t xml:space="preserve">D. Carlos Navarro Mendoza, como administrador solidario de TechVerde Solutions S.L. durante el periodo 2019–2022, fue declarado responsable subsidiario del pago de dicha sanción mediante resolución del TEAC de 3 de febrero de 2025. En consecuencia, ya ha sido sancionado personalmente —de forma solidaria con la persona jurídica— por los mismos hechos.</w:t>
      </w:r>
    </w:p>
    <w:p>
      <w:pPr>
        <w:spacing w:after="200" w:before="0" w:line="276"/>
        <w:ind w:firstLine="720"/>
        <w:jc w:val="both"/>
      </w:pPr>
      <w:r>
        <w:rPr>
          <w:rFonts w:ascii="Times New Roman" w:cs="Times New Roman" w:eastAsia="Times New Roman" w:hAnsi="Times New Roman"/>
          <w:b/>
          <w:bCs/>
          <w:sz w:val="24"/>
          <w:szCs w:val="24"/>
        </w:rPr>
        <w:t xml:space="preserve">Sexto. </w:t>
      </w:r>
      <w:r>
        <w:rPr>
          <w:rFonts w:ascii="Times New Roman" w:cs="Times New Roman" w:eastAsia="Times New Roman" w:hAnsi="Times New Roman"/>
          <w:sz w:val="24"/>
          <w:szCs w:val="24"/>
        </w:rPr>
        <w:t xml:space="preserve">El Tribunal Constitucional ha declarado reiteradamente (SSTC 2/1981, 177/1999, 188/2005) que el principio ne bis in idem, integrado en el derecho fundamental a la legalidad sancionadora del artículo 25.1 CE, prohíbe la doble sanción por los mismos hechos cuando exista identidad de sujeto, hecho y fundamento. En el presente caso concurre la triple identidad: mismo sujeto (Navarro, como responsable solidario), mismos hechos (transferencias a Lusitania Digital y Meridiano Consulting, ejercicios 2019–2022) y mismo fundamento (protección de la Hacienda Pública).</w:t>
      </w:r>
    </w:p>
    <w:p>
      <w:pPr>
        <w:spacing w:after="200" w:before="0" w:line="276"/>
        <w:ind w:firstLine="720"/>
        <w:jc w:val="both"/>
      </w:pPr>
      <w:r>
        <w:rPr>
          <w:rFonts w:ascii="Times New Roman" w:cs="Times New Roman" w:eastAsia="Times New Roman" w:hAnsi="Times New Roman"/>
          <w:sz w:val="24"/>
          <w:szCs w:val="24"/>
        </w:rPr>
        <w:t xml:space="preserve">Se solicita, por tanto, </w:t>
      </w:r>
      <w:r>
        <w:rPr>
          <w:rFonts w:ascii="Times New Roman" w:cs="Times New Roman" w:eastAsia="Times New Roman" w:hAnsi="Times New Roman"/>
          <w:b/>
          <w:bCs/>
          <w:sz w:val="24"/>
          <w:szCs w:val="24"/>
        </w:rPr>
        <w:t xml:space="preserve">la exclusión del delito A) de fraude fiscal</w:t>
      </w:r>
      <w:r>
        <w:rPr>
          <w:rFonts w:ascii="Times New Roman" w:cs="Times New Roman" w:eastAsia="Times New Roman" w:hAnsi="Times New Roman"/>
          <w:sz w:val="24"/>
          <w:szCs w:val="24"/>
        </w:rPr>
        <w:t xml:space="preserve"> o, subsidiariamente, que la sanción administrativa ya impuesta se compute como parte de la pena, conforme a la doctrina del Tribunal Constitucional y del TEDH (Caso </w:t>
      </w:r>
      <w:r>
        <w:rPr>
          <w:rFonts w:ascii="Times New Roman" w:cs="Times New Roman" w:eastAsia="Times New Roman" w:hAnsi="Times New Roman"/>
          <w:i/>
          <w:iCs/>
          <w:sz w:val="24"/>
          <w:szCs w:val="24"/>
        </w:rPr>
        <w:t xml:space="preserve">A y B c. Noruega</w:t>
      </w:r>
      <w:r>
        <w:rPr>
          <w:rFonts w:ascii="Times New Roman" w:cs="Times New Roman" w:eastAsia="Times New Roman" w:hAnsi="Times New Roman"/>
          <w:sz w:val="24"/>
          <w:szCs w:val="24"/>
        </w:rPr>
        <w:t xml:space="preserve">, STEDH de 15 de noviembre de 2016).</w:t>
      </w:r>
    </w:p>
    <w:p>
      <w:pPr>
        <w:spacing w:after="200" w:before="300" w:line="276"/>
        <w:jc w:val="both"/>
      </w:pPr>
      <w:r>
        <w:rPr>
          <w:rFonts w:ascii="Times New Roman" w:cs="Times New Roman" w:eastAsia="Times New Roman" w:hAnsi="Times New Roman"/>
          <w:b/>
          <w:bCs/>
          <w:sz w:val="24"/>
          <w:szCs w:val="24"/>
        </w:rPr>
        <w:t xml:space="preserve">III. INSUFICIENCIA ACUSATORIA RESPECTO DE LA PARTICIPACIÓN DE D. NAVARRO</w:t>
      </w:r>
    </w:p>
    <w:p>
      <w:pPr>
        <w:spacing w:after="200" w:before="0" w:line="276"/>
        <w:ind w:firstLine="720"/>
        <w:jc w:val="both"/>
      </w:pPr>
      <w:r>
        <w:rPr>
          <w:rFonts w:ascii="Times New Roman" w:cs="Times New Roman" w:eastAsia="Times New Roman" w:hAnsi="Times New Roman"/>
          <w:b/>
          <w:bCs/>
          <w:sz w:val="24"/>
          <w:szCs w:val="24"/>
        </w:rPr>
        <w:t xml:space="preserve">Séptimo. </w:t>
      </w:r>
      <w:r>
        <w:rPr>
          <w:rFonts w:ascii="Times New Roman" w:cs="Times New Roman" w:eastAsia="Times New Roman" w:hAnsi="Times New Roman"/>
          <w:sz w:val="24"/>
          <w:szCs w:val="24"/>
        </w:rPr>
        <w:t xml:space="preserve">El escrito de acusación de la Fiscalía atribuye a D. Navarro la condición de «coautor» de los hechos (calificación jurídica, apartado Quinto). Sin embargo, un examen detenido del relato fáctico revela que todas las decisiones estratégicas fueron adoptadas por el CEO, D. Miguel Ángel Cortés Herrera, mientras que la intervención de D. Navarro se limitó a la ejecución material de órdenes de transferencia, sin dominio funcional del hecho.</w:t>
      </w:r>
    </w:p>
    <w:p>
      <w:pPr>
        <w:spacing w:after="200" w:before="0" w:line="276"/>
        <w:ind w:firstLine="720"/>
        <w:jc w:val="both"/>
      </w:pPr>
      <w:r>
        <w:rPr>
          <w:rFonts w:ascii="Times New Roman" w:cs="Times New Roman" w:eastAsia="Times New Roman" w:hAnsi="Times New Roman"/>
          <w:b/>
          <w:bCs/>
          <w:sz w:val="24"/>
          <w:szCs w:val="24"/>
        </w:rPr>
        <w:t xml:space="preserve">Octavo. </w:t>
      </w:r>
      <w:r>
        <w:rPr>
          <w:rFonts w:ascii="Times New Roman" w:cs="Times New Roman" w:eastAsia="Times New Roman" w:hAnsi="Times New Roman"/>
          <w:sz w:val="24"/>
          <w:szCs w:val="24"/>
        </w:rPr>
        <w:t xml:space="preserve">D. Navarro no tenía participación alguna en las sociedades receptoras (Lusitania Digital Lda. y Meridiano Consulting SARL), no figuraba como apoderado, administrador ni beneficiario efectivo de las mismas, y no percibió beneficio económico personal alguno derivado de las operaciones investigadas. Estos extremos resultan acreditados por los folios 892 a 915 de las actuaciones (certificaciones del Registro Mercantil portugués y luxemburgués).</w:t>
      </w:r>
    </w:p>
    <w:p>
      <w:pPr>
        <w:spacing w:after="200" w:before="0" w:line="276"/>
        <w:ind w:firstLine="720"/>
        <w:jc w:val="both"/>
      </w:pPr>
      <w:r>
        <w:rPr>
          <w:rFonts w:ascii="Times New Roman" w:cs="Times New Roman" w:eastAsia="Times New Roman" w:hAnsi="Times New Roman"/>
          <w:sz w:val="24"/>
          <w:szCs w:val="24"/>
        </w:rPr>
        <w:t xml:space="preserve">A la vista de lo expuesto, esta defensa solicita que se requiera a la Fiscalía para que </w:t>
      </w:r>
      <w:r>
        <w:rPr>
          <w:rFonts w:ascii="Times New Roman" w:cs="Times New Roman" w:eastAsia="Times New Roman" w:hAnsi="Times New Roman"/>
          <w:b/>
          <w:bCs/>
          <w:sz w:val="24"/>
          <w:szCs w:val="24"/>
        </w:rPr>
        <w:t xml:space="preserve">individualice con precisión el título de participación</w:t>
      </w:r>
      <w:r>
        <w:rPr>
          <w:rFonts w:ascii="Times New Roman" w:cs="Times New Roman" w:eastAsia="Times New Roman" w:hAnsi="Times New Roman"/>
          <w:sz w:val="24"/>
          <w:szCs w:val="24"/>
        </w:rPr>
        <w:t xml:space="preserve"> de D. Navarro en cada uno de los hechos imputados, conforme a las exigencias del artículo 650 de la LECrim, o que, en su defecto, se declare la nulidad parcial de la acusación por insuficiencia del relato fáctico (art. 24.2 CE).</w:t>
      </w:r>
    </w:p>
    <w:p>
      <w:pPr>
        <w:spacing w:after="200" w:before="300" w:line="276"/>
        <w:jc w:val="center"/>
      </w:pPr>
      <w:r>
        <w:rPr>
          <w:rFonts w:ascii="Times New Roman" w:cs="Times New Roman" w:eastAsia="Times New Roman" w:hAnsi="Times New Roman"/>
          <w:b/>
          <w:bCs/>
          <w:sz w:val="24"/>
          <w:szCs w:val="24"/>
        </w:rPr>
        <w:t xml:space="preserve">CUADRO COMPARATIVO: POSICIÓN DE LOS ACUSADOS TRAS LA CONFORMIDAD DEL CEO</w:t>
      </w:r>
    </w:p>
    <w:tbl>
      <w:tblPr>
        <w:tblW w:type="dxa" w:w="8766"/>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166"/>
      </w:tblGrid>
      <w:tr>
        <w:tc>
          <w:tcPr>
            <w:tcW w:type="dxa" w:w="2200"/>
            <w:tcBorders>
              <w:top w:val="single" w:color="999999" w:sz="1"/>
              <w:left w:val="single" w:color="999999" w:sz="1"/>
              <w:bottom w:val="single" w:color="999999" w:sz="1"/>
              <w:right w:val="single" w:color="999999" w:sz="1"/>
            </w:tcBorders>
            <w:shd w:fill="0A1A2F" w:val="clear"/>
            <w:tcMar>
              <w:top w:type="dxa" w:w="60"/>
              <w:left w:type="dxa" w:w="100"/>
              <w:bottom w:type="dxa" w:w="60"/>
              <w:right w:type="dxa" w:w="100"/>
            </w:tcMar>
          </w:tcPr>
          <w:p>
            <w:pPr>
              <w:jc w:val="center"/>
            </w:pPr>
            <w:r>
              <w:rPr>
                <w:rFonts w:ascii="Times New Roman" w:cs="Times New Roman" w:eastAsia="Times New Roman" w:hAnsi="Times New Roman"/>
                <w:b/>
                <w:bCs/>
                <w:color w:val="FFFFFF"/>
                <w:sz w:val="20"/>
                <w:szCs w:val="20"/>
              </w:rPr>
              <w:t xml:space="preserve"/>
            </w:r>
          </w:p>
        </w:tc>
        <w:tc>
          <w:tcPr>
            <w:tcW w:type="dxa" w:w="2200"/>
            <w:tcBorders>
              <w:top w:val="single" w:color="999999" w:sz="1"/>
              <w:left w:val="single" w:color="999999" w:sz="1"/>
              <w:bottom w:val="single" w:color="999999" w:sz="1"/>
              <w:right w:val="single" w:color="999999" w:sz="1"/>
            </w:tcBorders>
            <w:shd w:fill="0A1A2F" w:val="clear"/>
            <w:tcMar>
              <w:top w:type="dxa" w:w="60"/>
              <w:left w:type="dxa" w:w="100"/>
              <w:bottom w:type="dxa" w:w="60"/>
              <w:right w:type="dxa" w:w="100"/>
            </w:tcMar>
          </w:tcPr>
          <w:p>
            <w:pPr>
              <w:jc w:val="center"/>
            </w:pPr>
            <w:r>
              <w:rPr>
                <w:rFonts w:ascii="Times New Roman" w:cs="Times New Roman" w:eastAsia="Times New Roman" w:hAnsi="Times New Roman"/>
                <w:b/>
                <w:bCs/>
                <w:color w:val="FFFFFF"/>
                <w:sz w:val="20"/>
                <w:szCs w:val="20"/>
              </w:rPr>
              <w:t xml:space="preserve">M.A. Cortés (CEO)</w:t>
            </w:r>
          </w:p>
        </w:tc>
        <w:tc>
          <w:tcPr>
            <w:tcW w:type="dxa" w:w="2200"/>
            <w:tcBorders>
              <w:top w:val="single" w:color="999999" w:sz="1"/>
              <w:left w:val="single" w:color="999999" w:sz="1"/>
              <w:bottom w:val="single" w:color="999999" w:sz="1"/>
              <w:right w:val="single" w:color="999999" w:sz="1"/>
            </w:tcBorders>
            <w:shd w:fill="0A1A2F" w:val="clear"/>
            <w:tcMar>
              <w:top w:type="dxa" w:w="60"/>
              <w:left w:type="dxa" w:w="100"/>
              <w:bottom w:type="dxa" w:w="60"/>
              <w:right w:type="dxa" w:w="100"/>
            </w:tcMar>
          </w:tcPr>
          <w:p>
            <w:pPr>
              <w:jc w:val="center"/>
            </w:pPr>
            <w:r>
              <w:rPr>
                <w:rFonts w:ascii="Times New Roman" w:cs="Times New Roman" w:eastAsia="Times New Roman" w:hAnsi="Times New Roman"/>
                <w:b/>
                <w:bCs/>
                <w:color w:val="FFFFFF"/>
                <w:sz w:val="20"/>
                <w:szCs w:val="20"/>
              </w:rPr>
              <w:t xml:space="preserve">C. Navarro (CFO)</w:t>
            </w:r>
          </w:p>
        </w:tc>
        <w:tc>
          <w:tcPr>
            <w:tcW w:type="dxa" w:w="2166"/>
            <w:tcBorders>
              <w:top w:val="single" w:color="999999" w:sz="1"/>
              <w:left w:val="single" w:color="999999" w:sz="1"/>
              <w:bottom w:val="single" w:color="999999" w:sz="1"/>
              <w:right w:val="single" w:color="999999" w:sz="1"/>
            </w:tcBorders>
            <w:shd w:fill="0A1A2F" w:val="clear"/>
            <w:tcMar>
              <w:top w:type="dxa" w:w="60"/>
              <w:left w:type="dxa" w:w="100"/>
              <w:bottom w:type="dxa" w:w="60"/>
              <w:right w:type="dxa" w:w="100"/>
            </w:tcMar>
          </w:tcPr>
          <w:p>
            <w:pPr>
              <w:jc w:val="center"/>
            </w:pPr>
            <w:r>
              <w:rPr>
                <w:rFonts w:ascii="Times New Roman" w:cs="Times New Roman" w:eastAsia="Times New Roman" w:hAnsi="Times New Roman"/>
                <w:b/>
                <w:bCs/>
                <w:color w:val="FFFFFF"/>
                <w:sz w:val="20"/>
                <w:szCs w:val="20"/>
              </w:rPr>
              <w:t xml:space="preserve">Diferencia</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Rol en la trama</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Ideador y decisor</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Ejecutor material</w:t>
            </w:r>
          </w:p>
        </w:tc>
        <w:tc>
          <w:tcPr>
            <w:tcW w:type="dxa" w:w="216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Sin dominio funcional</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Titularidad sociedades</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Beneficiario efectivo de ambas</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Ninguna vinculación</w:t>
            </w:r>
          </w:p>
        </w:tc>
        <w:tc>
          <w:tcPr>
            <w:tcW w:type="dxa" w:w="216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0% participación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Beneficio personal</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1.870.000 € acreditado</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0 €</w:t>
            </w:r>
          </w:p>
        </w:tc>
        <w:tc>
          <w:tcPr>
            <w:tcW w:type="dxa" w:w="216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Sin enriquecimiento</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Pena conformada / solicitada</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 años (suspendidos) + devolución</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7 años + 4,6M€</w:t>
            </w:r>
          </w:p>
        </w:tc>
        <w:tc>
          <w:tcPr>
            <w:tcW w:type="dxa" w:w="216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Desproporción manifiesta</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RC atribuida</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2.300.000 € (devueltos)</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2.300.000 € solidaria</w:t>
            </w:r>
          </w:p>
        </w:tc>
        <w:tc>
          <w:tcPr>
            <w:tcW w:type="dxa" w:w="216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Misma RC sin beneficio</w:t>
            </w:r>
          </w:p>
        </w:tc>
      </w:tr>
    </w:tbl>
    <w:p>
      <w:pPr>
        <w:spacing w:after="300" w:before="100" w:line="276"/>
        <w:jc w:val="both"/>
      </w:pPr>
      <w:r>
        <w:rPr>
          <w:rFonts w:ascii="Times New Roman" w:cs="Times New Roman" w:eastAsia="Times New Roman" w:hAnsi="Times New Roman"/>
          <w:i/>
          <w:iCs/>
          <w:sz w:val="24"/>
          <w:szCs w:val="24"/>
        </w:rPr>
        <w:t xml:space="preserve">Fuente: Elaboración propia a partir de los escritos de acusación y la conformidad del CEO (auto de 12/01/2026).</w:t>
      </w:r>
    </w:p>
    <w:p>
      <w:pPr>
        <w:spacing w:after="200" w:before="200" w:line="276"/>
        <w:jc w:val="both"/>
      </w:pPr>
      <w:r>
        <w:rPr>
          <w:rFonts w:ascii="Times New Roman" w:cs="Times New Roman" w:eastAsia="Times New Roman" w:hAnsi="Times New Roman"/>
          <w:b/>
          <w:bCs/>
          <w:sz w:val="24"/>
          <w:szCs w:val="24"/>
        </w:rPr>
        <w:t xml:space="preserve">IV. PETICIÓN</w:t>
      </w:r>
    </w:p>
    <w:p>
      <w:pPr>
        <w:spacing w:after="200" w:before="0" w:line="276"/>
        <w:ind w:firstLine="720"/>
        <w:jc w:val="both"/>
      </w:pPr>
      <w:r>
        <w:rPr>
          <w:rFonts w:ascii="Times New Roman" w:cs="Times New Roman" w:eastAsia="Times New Roman" w:hAnsi="Times New Roman"/>
          <w:sz w:val="24"/>
          <w:szCs w:val="24"/>
        </w:rPr>
        <w:t xml:space="preserve">Por lo expuesto, al Tribunal, respetuosamente, esta representación procesal</w:t>
      </w:r>
    </w:p>
    <w:p>
      <w:pPr>
        <w:spacing w:after="200" w:before="100" w:line="276"/>
        <w:jc w:val="center"/>
      </w:pPr>
      <w:r>
        <w:rPr>
          <w:rFonts w:ascii="Times New Roman" w:cs="Times New Roman" w:eastAsia="Times New Roman" w:hAnsi="Times New Roman"/>
          <w:b/>
          <w:bCs/>
          <w:sz w:val="24"/>
          <w:szCs w:val="24"/>
        </w:rPr>
        <w:t xml:space="preserve">SUPLICA:</w:t>
      </w:r>
    </w:p>
    <w:p>
      <w:pPr>
        <w:spacing w:after="200" w:before="0" w:line="276"/>
        <w:ind w:firstLine="720"/>
        <w:jc w:val="both"/>
      </w:pPr>
      <w:r>
        <w:rPr>
          <w:rFonts w:ascii="Times New Roman" w:cs="Times New Roman" w:eastAsia="Times New Roman" w:hAnsi="Times New Roman"/>
          <w:b/>
          <w:bCs/>
          <w:sz w:val="24"/>
          <w:szCs w:val="24"/>
        </w:rPr>
        <w:t xml:space="preserve">Primero. </w:t>
      </w:r>
      <w:r>
        <w:rPr>
          <w:rFonts w:ascii="Times New Roman" w:cs="Times New Roman" w:eastAsia="Times New Roman" w:hAnsi="Times New Roman"/>
          <w:sz w:val="24"/>
          <w:szCs w:val="24"/>
        </w:rPr>
        <w:t xml:space="preserve">Que se tenga por presentado el presente escrito y por formuladas las cuestiones previas que anteceden.</w:t>
      </w:r>
    </w:p>
    <w:p>
      <w:pPr>
        <w:spacing w:after="200" w:before="0" w:line="276"/>
        <w:ind w:firstLine="720"/>
        <w:jc w:val="both"/>
      </w:pPr>
      <w:r>
        <w:rPr>
          <w:rFonts w:ascii="Times New Roman" w:cs="Times New Roman" w:eastAsia="Times New Roman" w:hAnsi="Times New Roman"/>
          <w:b/>
          <w:bCs/>
          <w:sz w:val="24"/>
          <w:szCs w:val="24"/>
        </w:rPr>
        <w:t xml:space="preserve">Segundo. </w:t>
      </w:r>
      <w:r>
        <w:rPr>
          <w:rFonts w:ascii="Times New Roman" w:cs="Times New Roman" w:eastAsia="Times New Roman" w:hAnsi="Times New Roman"/>
          <w:sz w:val="24"/>
          <w:szCs w:val="24"/>
        </w:rPr>
        <w:t xml:space="preserve">Que se declare la prescripción del delito B) de falsedad en documento mercantil y se acuerde el sobreseimiento libre respecto del mismo.</w:t>
      </w:r>
    </w:p>
    <w:p>
      <w:pPr>
        <w:spacing w:after="200" w:before="0" w:line="276"/>
        <w:ind w:firstLine="720"/>
        <w:jc w:val="both"/>
      </w:pPr>
      <w:r>
        <w:rPr>
          <w:rFonts w:ascii="Times New Roman" w:cs="Times New Roman" w:eastAsia="Times New Roman" w:hAnsi="Times New Roman"/>
          <w:b/>
          <w:bCs/>
          <w:sz w:val="24"/>
          <w:szCs w:val="24"/>
        </w:rPr>
        <w:t xml:space="preserve">Tercero. </w:t>
      </w:r>
      <w:r>
        <w:rPr>
          <w:rFonts w:ascii="Times New Roman" w:cs="Times New Roman" w:eastAsia="Times New Roman" w:hAnsi="Times New Roman"/>
          <w:sz w:val="24"/>
          <w:szCs w:val="24"/>
        </w:rPr>
        <w:t xml:space="preserve">Que, con carácter previo al inicio del juicio oral, se resuelva sobre la concurrencia de la prohibición de bis in idem respecto del delito A) de fraude fiscal, y se acuerde la exclusión de dicho cargo o, subsidiariamente, el cómputo de la sanción administrativa como parte de la pena.</w:t>
      </w:r>
    </w:p>
    <w:p>
      <w:pPr>
        <w:spacing w:after="200" w:before="0" w:line="276"/>
        <w:ind w:firstLine="720"/>
        <w:jc w:val="both"/>
      </w:pPr>
      <w:r>
        <w:rPr>
          <w:rFonts w:ascii="Times New Roman" w:cs="Times New Roman" w:eastAsia="Times New Roman" w:hAnsi="Times New Roman"/>
          <w:b/>
          <w:bCs/>
          <w:sz w:val="24"/>
          <w:szCs w:val="24"/>
        </w:rPr>
        <w:t xml:space="preserve">Cuarto. </w:t>
      </w:r>
      <w:r>
        <w:rPr>
          <w:rFonts w:ascii="Times New Roman" w:cs="Times New Roman" w:eastAsia="Times New Roman" w:hAnsi="Times New Roman"/>
          <w:sz w:val="24"/>
          <w:szCs w:val="24"/>
        </w:rPr>
        <w:t xml:space="preserve">Que se requiera a las acusaciones para que individualicen con precisión el título de participación y la contribución causal de D. Navarro a cada uno de los hechos imputados, conforme a las exigencias del artículo 650 de la LECrim.</w:t>
      </w:r>
    </w:p>
    <w:p>
      <w:pPr>
        <w:spacing w:after="200" w:before="0" w:line="276"/>
        <w:ind w:firstLine="720"/>
        <w:jc w:val="both"/>
      </w:pPr>
      <w:r>
        <w:rPr>
          <w:rFonts w:ascii="Times New Roman" w:cs="Times New Roman" w:eastAsia="Times New Roman" w:hAnsi="Times New Roman"/>
          <w:b/>
          <w:bCs/>
          <w:sz w:val="24"/>
          <w:szCs w:val="24"/>
        </w:rPr>
        <w:t xml:space="preserve">Subsidiariamente, </w:t>
      </w:r>
      <w:r>
        <w:rPr>
          <w:rFonts w:ascii="Times New Roman" w:cs="Times New Roman" w:eastAsia="Times New Roman" w:hAnsi="Times New Roman"/>
          <w:sz w:val="24"/>
          <w:szCs w:val="24"/>
        </w:rPr>
        <w:t xml:space="preserve">para el caso de que no se estimen las cuestiones anteriores, se tenga por formulada la protesta a los efectos del artículo 5.4 de la Ley Orgánica del Poder Judicial.</w:t>
      </w:r>
    </w:p>
    <w:p>
      <w:pPr>
        <w:spacing w:after="200" w:before="400" w:line="276"/>
        <w:jc w:val="center"/>
      </w:pPr>
      <w:r>
        <w:rPr>
          <w:rFonts w:ascii="Times New Roman" w:cs="Times New Roman" w:eastAsia="Times New Roman" w:hAnsi="Times New Roman"/>
          <w:sz w:val="24"/>
          <w:szCs w:val="24"/>
        </w:rPr>
        <w:t xml:space="preserve">En Madrid, a 26 de mayo de 2026.</w:t>
      </w:r>
    </w:p>
    <w:p>
      <w:pPr>
        <w:spacing w:after="400" w:before="0" w:line="276"/>
        <w:jc w:val="both"/>
      </w:pPr>
    </w:p>
    <w:p>
      <w:pPr>
        <w:tabs>
          <w:tab w:val="right" w:pos="9026"/>
        </w:tabs>
        <w:jc w:val="left"/>
      </w:pPr>
      <w:r>
        <w:rPr>
          <w:rFonts w:ascii="Times New Roman" w:cs="Times New Roman" w:eastAsia="Times New Roman" w:hAnsi="Times New Roman"/>
          <w:sz w:val="24"/>
          <w:szCs w:val="24"/>
        </w:rPr>
        <w:t xml:space="preserve">Fdo.: D. René Dechamps</w:t>
      </w:r>
      <w:r>
        <w:rPr>
          <w:rFonts w:ascii="Times New Roman" w:cs="Times New Roman" w:eastAsia="Times New Roman" w:hAnsi="Times New Roman"/>
          <w:sz w:val="24"/>
          <w:szCs w:val="24"/>
        </w:rPr>
        <w:t xml:space="preserve">	Fdo.: Dña. Laura Martínez Soler</w:t>
      </w:r>
    </w:p>
    <w:p>
      <w:pPr>
        <w:tabs>
          <w:tab w:val="right" w:pos="9026"/>
        </w:tabs>
        <w:jc w:val="left"/>
      </w:pPr>
      <w:r>
        <w:rPr>
          <w:rFonts w:ascii="Times New Roman" w:cs="Times New Roman" w:eastAsia="Times New Roman" w:hAnsi="Times New Roman"/>
          <w:color w:val="666666"/>
          <w:sz w:val="20"/>
          <w:szCs w:val="20"/>
        </w:rPr>
        <w:t xml:space="preserve">Letrado — Estrado AI</w:t>
      </w:r>
      <w:r>
        <w:rPr>
          <w:rFonts w:ascii="Times New Roman" w:cs="Times New Roman" w:eastAsia="Times New Roman" w:hAnsi="Times New Roman"/>
          <w:color w:val="666666"/>
          <w:sz w:val="20"/>
          <w:szCs w:val="20"/>
        </w:rPr>
        <w:t xml:space="preserve">	Procuradora colegiada n.º 1.204</w:t>
      </w:r>
    </w:p>
    <w:p>
      <w:r>
        <w:br w:type="page"/>
      </w:r>
    </w:p>
    <w:p>
      <w:pPr>
        <w:spacing w:after="200" w:before="200" w:line="276"/>
        <w:jc w:val="center"/>
      </w:pPr>
      <w:r>
        <w:rPr>
          <w:rFonts w:ascii="Times New Roman" w:cs="Times New Roman" w:eastAsia="Times New Roman" w:hAnsi="Times New Roman"/>
          <w:b/>
          <w:bCs/>
          <w:i/>
          <w:iCs/>
          <w:sz w:val="24"/>
          <w:szCs w:val="24"/>
        </w:rPr>
        <w:t xml:space="preserve">NOTA: DOCUMENTO DEMOSTRATIVO</w:t>
      </w:r>
    </w:p>
    <w:p>
      <w:pPr>
        <w:spacing w:after="200" w:before="0" w:line="276"/>
        <w:ind w:firstLine="720"/>
        <w:jc w:val="both"/>
      </w:pPr>
      <w:r>
        <w:rPr>
          <w:rFonts w:ascii="Times New Roman" w:cs="Times New Roman" w:eastAsia="Times New Roman" w:hAnsi="Times New Roman"/>
          <w:i/>
          <w:iCs/>
          <w:sz w:val="24"/>
          <w:szCs w:val="24"/>
        </w:rPr>
        <w:t xml:space="preserve">Este escrito ha sido generado por Estrado AI con fines exclusivamente demostrativos. El caso «Operación Meridiano», las partes procesales, los hechos y las referencias jurisprudenciales son ficticios. Ningún dato corresponde a personas o procedimientos reales. Las citas de sentencias del Tribunal Supremo y del Tribunal Constitucional son reales en cuanto a su referencia, pero su aplicación al caso descrito es puramente ilustrativa.</w:t>
      </w:r>
    </w:p>
    <w:p>
      <w:pPr>
        <w:spacing w:after="200" w:before="0" w:line="276"/>
        <w:ind w:firstLine="720"/>
        <w:jc w:val="both"/>
      </w:pPr>
      <w:r>
        <w:rPr>
          <w:rFonts w:ascii="Times New Roman" w:cs="Times New Roman" w:eastAsia="Times New Roman" w:hAnsi="Times New Roman"/>
          <w:i/>
          <w:iCs/>
          <w:sz w:val="24"/>
          <w:szCs w:val="24"/>
        </w:rPr>
        <w:t xml:space="preserve">El propósito de este documento es mostrar al potencial cliente el nivel de calidad, estructura argumentativa y rigor procesal que Estrado AI aplica en la redacción de escritos judiciales.</w:t>
      </w:r>
    </w:p>
    <w:sectPr>
      <w:headerReference w:type="default" r:id="rId7"/>
      <w:footerReference w:type="default" r:id="rId8"/>
      <w:pgSz w:w="11906" w:h="16838" w:orient="portrait"/>
      <w:pgMar w:top="1440" w:right="144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999999"/>
        <w:sz w:val="16"/>
        <w:szCs w:val="16"/>
      </w:rPr>
      <w:t xml:space="preserve">Página </w:t>
    </w:r>
    <w:r>
      <w:rPr>
        <w:rFonts w:ascii="Times New Roman" w:cs="Times New Roman" w:eastAsia="Times New Roman" w:hAnsi="Times New Roman"/>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A1A2F" w:sz="4" w:space="4"/>
      </w:pBdr>
      <w:tabs>
        <w:tab w:val="right" w:pos="9026"/>
      </w:tabs>
    </w:pPr>
    <w:r>
      <w:rPr>
        <w:rFonts w:ascii="Times New Roman" w:cs="Times New Roman" w:eastAsia="Times New Roman" w:hAnsi="Times New Roman"/>
        <w:color w:val="999999"/>
        <w:sz w:val="16"/>
        <w:szCs w:val="16"/>
      </w:rPr>
      <w:t xml:space="preserve">Rollo PA 15/2025 — Operación Meridiano</w:t>
    </w:r>
    <w:r>
      <w:rPr>
        <w:rFonts w:ascii="Times New Roman" w:cs="Times New Roman" w:eastAsia="Times New Roman" w:hAnsi="Times New Roman"/>
        <w:color w:val="B09058"/>
        <w:sz w:val="16"/>
        <w:szCs w:val="16"/>
      </w:rPr>
      <w:t xml:space="preserve">	Estrado AI — Borrador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2026-05-26T10:58:06.746Z</dcterms:created>
  <dcterms:modified xsi:type="dcterms:W3CDTF">2026-05-26T10:58:06.746Z</dcterms:modified>
</cp:coreProperties>
</file>

<file path=docProps/custom.xml><?xml version="1.0" encoding="utf-8"?>
<Properties xmlns="http://schemas.openxmlformats.org/officeDocument/2006/custom-properties" xmlns:vt="http://schemas.openxmlformats.org/officeDocument/2006/docPropsVTypes"/>
</file>